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9"/>
        <w:gridCol w:w="222"/>
      </w:tblGrid>
      <w:tr w:rsidR="00720C52" w:rsidTr="00720C52">
        <w:trPr>
          <w:jc w:val="center"/>
        </w:trPr>
        <w:tc>
          <w:tcPr>
            <w:tcW w:w="4915" w:type="dxa"/>
          </w:tcPr>
          <w:tbl>
            <w:tblPr>
              <w:tblW w:w="9741" w:type="dxa"/>
              <w:tblInd w:w="142" w:type="dxa"/>
              <w:tblLook w:val="0000" w:firstRow="0" w:lastRow="0" w:firstColumn="0" w:lastColumn="0" w:noHBand="0" w:noVBand="0"/>
            </w:tblPr>
            <w:tblGrid>
              <w:gridCol w:w="4149"/>
              <w:gridCol w:w="1443"/>
              <w:gridCol w:w="4149"/>
            </w:tblGrid>
            <w:tr w:rsidR="00F53492" w:rsidRPr="00F53492" w:rsidTr="00F53492">
              <w:trPr>
                <w:cantSplit/>
                <w:trHeight w:val="1985"/>
              </w:trPr>
              <w:tc>
                <w:tcPr>
                  <w:tcW w:w="4149" w:type="dxa"/>
                </w:tcPr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Башкортостан Республикаhы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Салауат районы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муниципальрайонынын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Первомай ауыл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хакимиетэ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452480, Первомай ауылы,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Совет урамы, 9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Тел. (34777) 2-75-71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F53492" w:rsidRPr="00F53492" w:rsidRDefault="00F53492" w:rsidP="00F5349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6FD21954" wp14:editId="6A22B12F">
                        <wp:simplePos x="0" y="0"/>
                        <wp:positionH relativeFrom="column">
                          <wp:posOffset>53975</wp:posOffset>
                        </wp:positionH>
                        <wp:positionV relativeFrom="paragraph">
                          <wp:posOffset>40640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9" w:type="dxa"/>
                </w:tcPr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Республика Башкортостан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Администрация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сельского поселения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Первомайский сельсовет муниципального района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Салаватский район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92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452480, с. Первомайский,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172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ул. Советская, 9</w:t>
                  </w:r>
                </w:p>
                <w:p w:rsidR="00F53492" w:rsidRPr="00F53492" w:rsidRDefault="00F53492" w:rsidP="00F53492">
                  <w:pPr>
                    <w:autoSpaceDE w:val="0"/>
                    <w:autoSpaceDN w:val="0"/>
                    <w:adjustRightInd w:val="0"/>
                    <w:spacing w:after="0" w:line="216" w:lineRule="exact"/>
                    <w:jc w:val="center"/>
                    <w:rPr>
                      <w:rFonts w:ascii="Times New Roman" w:hAnsi="Times New Roman"/>
                      <w:w w:val="106"/>
                      <w:sz w:val="24"/>
                    </w:rPr>
                  </w:pPr>
                  <w:r w:rsidRPr="00F53492">
                    <w:rPr>
                      <w:rFonts w:ascii="Times New Roman" w:hAnsi="Times New Roman"/>
                      <w:w w:val="106"/>
                      <w:sz w:val="24"/>
                    </w:rPr>
                    <w:t>Тел. (34777) 2-75-71</w:t>
                  </w:r>
                </w:p>
              </w:tc>
            </w:tr>
            <w:tr w:rsidR="00F53492" w:rsidRPr="00F53492" w:rsidTr="00F53492">
              <w:trPr>
                <w:cantSplit/>
                <w:trHeight w:val="150"/>
              </w:trPr>
              <w:tc>
                <w:tcPr>
                  <w:tcW w:w="414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F53492" w:rsidRPr="00F53492" w:rsidRDefault="00F53492" w:rsidP="00F53492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F53492" w:rsidRPr="00F53492" w:rsidRDefault="00F53492" w:rsidP="00F53492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F53492" w:rsidRPr="00F53492" w:rsidRDefault="00F53492" w:rsidP="00F53492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F53492" w:rsidRPr="00F53492" w:rsidRDefault="00F53492" w:rsidP="00F53492">
            <w:pPr>
              <w:spacing w:after="0" w:line="317" w:lineRule="exact"/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</w:t>
            </w:r>
            <w:r w:rsidRPr="00F53492">
              <w:rPr>
                <w:rFonts w:ascii="Times New Roman" w:hAnsi="Times New Roman"/>
              </w:rPr>
              <w:t xml:space="preserve">КАРАР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                   </w:t>
            </w:r>
            <w:r w:rsidRPr="00F53492">
              <w:rPr>
                <w:rFonts w:ascii="Times New Roman" w:hAnsi="Times New Roman"/>
              </w:rPr>
              <w:t>ПОСТАНОВЛЕНИЕ</w:t>
            </w:r>
          </w:p>
          <w:p w:rsidR="00F53492" w:rsidRPr="00F53492" w:rsidRDefault="00F53492" w:rsidP="00F53492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F53492">
              <w:rPr>
                <w:rFonts w:ascii="Times New Roman" w:hAnsi="Times New Roman"/>
              </w:rPr>
              <w:t xml:space="preserve">     </w:t>
            </w:r>
          </w:p>
          <w:p w:rsidR="00F53492" w:rsidRPr="00F53492" w:rsidRDefault="00F53492" w:rsidP="00F53492">
            <w:pPr>
              <w:spacing w:after="0" w:line="317" w:lineRule="exact"/>
              <w:rPr>
                <w:rFonts w:ascii="Times New Roman" w:hAnsi="Times New Roman"/>
              </w:rPr>
            </w:pPr>
            <w:r w:rsidRPr="00F53492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  <w:lang w:val="ru-RU"/>
              </w:rPr>
              <w:t xml:space="preserve">  30</w:t>
            </w:r>
            <w:r>
              <w:rPr>
                <w:rFonts w:ascii="Times New Roman" w:hAnsi="Times New Roman"/>
              </w:rPr>
              <w:t xml:space="preserve"> сентябрь 2021 й</w:t>
            </w:r>
            <w:proofErr w:type="spellStart"/>
            <w:r>
              <w:rPr>
                <w:rFonts w:ascii="Times New Roman" w:hAnsi="Times New Roman"/>
                <w:lang w:val="ru-RU"/>
              </w:rPr>
              <w:t>ыл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Pr="00F53492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lang w:val="ru-RU"/>
              </w:rPr>
              <w:t xml:space="preserve">         </w:t>
            </w:r>
            <w:r w:rsidRPr="00F5349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 xml:space="preserve">2 </w:t>
            </w:r>
            <w:r w:rsidRPr="00F53492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</w:rPr>
              <w:t>30</w:t>
            </w:r>
            <w:r w:rsidRPr="00F53492">
              <w:rPr>
                <w:rFonts w:ascii="Times New Roman" w:hAnsi="Times New Roman"/>
              </w:rPr>
              <w:t xml:space="preserve"> сентября 2021 года</w:t>
            </w:r>
          </w:p>
          <w:p w:rsidR="00720C52" w:rsidRPr="001A5213" w:rsidRDefault="00720C52" w:rsidP="00F534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ru-RU" w:eastAsia="ru-RU"/>
              </w:rPr>
            </w:pPr>
          </w:p>
        </w:tc>
      </w:tr>
    </w:tbl>
    <w:p w:rsidR="00720C52" w:rsidRDefault="00720C52" w:rsidP="00F5349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015EBF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F534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Первомайский</w:t>
      </w: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сельсовет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муниципального района </w:t>
      </w:r>
      <w:r w:rsidR="001A521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учреждениями и муниципальными унитарными предприятиями, за счет бюджета </w:t>
      </w:r>
      <w:r w:rsidRPr="00015E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</w:t>
      </w:r>
    </w:p>
    <w:p w:rsidR="00015EBF" w:rsidRPr="00015EBF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соответствии со статьей 80 Бюджетного кодекса Российской Федерации, Администрация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F5349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Первомайский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ПОСТАНОВЛЯЕТ:</w:t>
      </w:r>
    </w:p>
    <w:p w:rsidR="00015EBF" w:rsidRPr="00015EBF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Утвердить прилагаемые:</w:t>
      </w:r>
    </w:p>
    <w:p w:rsidR="00015EBF" w:rsidRPr="00015EBF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F5349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Первомайский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Башкортостан;</w:t>
      </w:r>
      <w:proofErr w:type="gramEnd"/>
    </w:p>
    <w:p w:rsidR="00015EBF" w:rsidRPr="00015EBF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F5349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Первомайский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proofErr w:type="gramStart"/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F53492" w:rsidRDefault="00F53492" w:rsidP="00F53492">
      <w:pPr>
        <w:rPr>
          <w:rFonts w:ascii="Times New Roman" w:eastAsia="Times New Roman" w:hAnsi="Times New Roman"/>
          <w:sz w:val="26"/>
          <w:szCs w:val="26"/>
          <w:lang w:val="ru-RU" w:eastAsia="ru-RU"/>
        </w:rPr>
      </w:pPr>
      <w:bookmarkStart w:id="0" w:name="Par1"/>
      <w:bookmarkEnd w:id="0"/>
    </w:p>
    <w:p w:rsidR="00F53492" w:rsidRPr="00F53492" w:rsidRDefault="00F53492" w:rsidP="00F53492">
      <w:pPr>
        <w:rPr>
          <w:rFonts w:ascii="Times New Roman" w:hAnsi="Times New Roman"/>
          <w:color w:val="FF0000"/>
          <w:sz w:val="24"/>
        </w:rPr>
      </w:pPr>
      <w:bookmarkStart w:id="1" w:name="_GoBack"/>
      <w:r w:rsidRPr="00F53492">
        <w:rPr>
          <w:rFonts w:ascii="Times New Roman" w:hAnsi="Times New Roman"/>
          <w:sz w:val="24"/>
        </w:rPr>
        <w:t xml:space="preserve">Глава сельского поселения                                                         </w:t>
      </w:r>
      <w:r>
        <w:rPr>
          <w:rFonts w:ascii="Times New Roman" w:hAnsi="Times New Roman"/>
          <w:sz w:val="24"/>
          <w:lang w:val="ru-RU"/>
        </w:rPr>
        <w:t xml:space="preserve">                       </w:t>
      </w:r>
      <w:r w:rsidRPr="00F53492">
        <w:rPr>
          <w:rFonts w:ascii="Times New Roman" w:hAnsi="Times New Roman"/>
          <w:sz w:val="24"/>
        </w:rPr>
        <w:t>Г.З. Жашковская</w:t>
      </w:r>
    </w:p>
    <w:bookmarkEnd w:id="1"/>
    <w:p w:rsidR="00015EBF" w:rsidRPr="00235A5D" w:rsidRDefault="00015EBF" w:rsidP="00F53492">
      <w:pPr>
        <w:tabs>
          <w:tab w:val="left" w:pos="709"/>
        </w:tabs>
        <w:jc w:val="both"/>
      </w:pPr>
    </w:p>
    <w:p w:rsid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  </w:t>
      </w:r>
    </w:p>
    <w:p w:rsidR="001A5213" w:rsidRPr="00015EBF" w:rsidRDefault="001A5213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tbl>
      <w:tblPr>
        <w:tblW w:w="9686" w:type="dxa"/>
        <w:tblInd w:w="-252" w:type="dxa"/>
        <w:tblLook w:val="01E0" w:firstRow="1" w:lastRow="1" w:firstColumn="1" w:lastColumn="1" w:noHBand="0" w:noVBand="0"/>
      </w:tblPr>
      <w:tblGrid>
        <w:gridCol w:w="4843"/>
        <w:gridCol w:w="4843"/>
      </w:tblGrid>
      <w:tr w:rsidR="00015EBF" w:rsidRPr="00015EBF" w:rsidTr="00F53492">
        <w:trPr>
          <w:trHeight w:val="1460"/>
        </w:trPr>
        <w:tc>
          <w:tcPr>
            <w:tcW w:w="4843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43" w:type="dxa"/>
            <w:hideMark/>
          </w:tcPr>
          <w:p w:rsidR="00015EBF" w:rsidRPr="00015EBF" w:rsidRDefault="00015EBF" w:rsidP="00F53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Утверждены</w:t>
            </w:r>
          </w:p>
          <w:p w:rsidR="00015EBF" w:rsidRPr="00015EBF" w:rsidRDefault="00015EBF" w:rsidP="00F53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015EBF" w:rsidRPr="00015EBF" w:rsidRDefault="00015EBF" w:rsidP="00F53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015EBF" w:rsidRPr="00015EBF" w:rsidRDefault="00F53492" w:rsidP="00F53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Первомайский</w:t>
            </w:r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015EBF" w:rsidRPr="00015EBF" w:rsidRDefault="00015EBF" w:rsidP="00F53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015EBF" w:rsidRPr="00015EBF" w:rsidRDefault="001A5213" w:rsidP="00F53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015EBF" w:rsidRPr="00015EBF" w:rsidRDefault="00015EBF" w:rsidP="00F53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015EBF" w:rsidP="00F53492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</w:t>
            </w:r>
            <w:r w:rsidR="001A521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» </w:t>
            </w:r>
            <w:r w:rsidR="001A5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____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года № </w:t>
            </w:r>
            <w:r w:rsidR="001A5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F53492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Первомайский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сельсовет</w:t>
      </w:r>
      <w:r w:rsidRPr="00015EBF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I. ОСНОВНЫЕ ПОЛОЖЕНИЯ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или) 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приоритетов и целей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исходя из прогнозов и программ социально-экономического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муниципальных программ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документов территориального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поручений и указаний Главы Администрации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в)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приобретения земельных участков под строительство;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проведения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II. ПОДГОТОВКА ПРОЕКТА РЕШЕНИЯ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5. Проект решения подготавливает главный распорядитель.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Проект решения подготавливается в форме проекта нормативного правового акта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документам территориального планирования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или одной сфере деятельности главного распорядителя.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принимаются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определение главного распорядителя;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определение застройщика или заказчика (заказчика-застройщика);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8.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предыдущие 2 года;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предыдущие 2 года;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капитальные вложения, в отношении объекта капитального строительства и (или) объекта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Pr="00015EBF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53492" w:rsidRDefault="00015EBF" w:rsidP="00F53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    Утверждены</w:t>
      </w:r>
    </w:p>
    <w:p w:rsidR="00015EBF" w:rsidRPr="00015EBF" w:rsidRDefault="00015EBF" w:rsidP="00F53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постановлением                                         администрации</w:t>
      </w:r>
    </w:p>
    <w:p w:rsidR="00015EBF" w:rsidRPr="00015EBF" w:rsidRDefault="00015EBF" w:rsidP="00F534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сельского поселения </w:t>
      </w:r>
    </w:p>
    <w:p w:rsidR="00015EBF" w:rsidRPr="00015EBF" w:rsidRDefault="00792171" w:rsidP="00F534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Первомайский</w:t>
      </w:r>
      <w:r w:rsidR="001A52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5EBF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сельсовет</w:t>
      </w:r>
    </w:p>
    <w:p w:rsidR="00015EBF" w:rsidRPr="00015EBF" w:rsidRDefault="00015EBF" w:rsidP="00F534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муниципального района</w:t>
      </w:r>
    </w:p>
    <w:p w:rsidR="00015EBF" w:rsidRPr="00015EBF" w:rsidRDefault="001A5213" w:rsidP="00F534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="00015EBF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</w:t>
      </w:r>
    </w:p>
    <w:p w:rsidR="00015EBF" w:rsidRPr="00015EBF" w:rsidRDefault="00015EBF" w:rsidP="00F5349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Республики Башкортостан</w:t>
      </w:r>
    </w:p>
    <w:p w:rsidR="00015EBF" w:rsidRPr="00F53492" w:rsidRDefault="00015EBF" w:rsidP="00F53492">
      <w:pPr>
        <w:tabs>
          <w:tab w:val="left" w:pos="6379"/>
        </w:tabs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от  «  </w:t>
      </w:r>
      <w:r w:rsidR="001A5213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Pr="00015EB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»  2020 года №</w:t>
      </w:r>
      <w:r w:rsidR="001A521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</w:t>
      </w: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792171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Первомайский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015EBF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 w:rsidR="001A5213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заключаемому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й(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определяющем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обеспечения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которых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дств в сл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4.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объеме, предусмотренном нормативным правовым актом сельского поселения о предоставлении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5.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7.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6 настоящих Требований.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сроки перечисления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определяющем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которых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сре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дств в сл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DC" w:rsidRDefault="00EC60DC" w:rsidP="00235A5D">
      <w:pPr>
        <w:spacing w:after="0" w:line="240" w:lineRule="auto"/>
      </w:pPr>
      <w:r>
        <w:separator/>
      </w:r>
    </w:p>
  </w:endnote>
  <w:endnote w:type="continuationSeparator" w:id="0">
    <w:p w:rsidR="00EC60DC" w:rsidRDefault="00EC60DC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DC" w:rsidRDefault="00EC60DC" w:rsidP="00235A5D">
      <w:pPr>
        <w:spacing w:after="0" w:line="240" w:lineRule="auto"/>
      </w:pPr>
      <w:r>
        <w:separator/>
      </w:r>
    </w:p>
  </w:footnote>
  <w:footnote w:type="continuationSeparator" w:id="0">
    <w:p w:rsidR="00EC60DC" w:rsidRDefault="00EC60DC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15EB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213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2171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1461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25EED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C60DC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53492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1A521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1A521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1A521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1A521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D030-CD08-45AD-A425-FBC11A43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пк</cp:lastModifiedBy>
  <cp:revision>2</cp:revision>
  <cp:lastPrinted>2020-12-14T04:42:00Z</cp:lastPrinted>
  <dcterms:created xsi:type="dcterms:W3CDTF">2021-10-01T00:31:00Z</dcterms:created>
  <dcterms:modified xsi:type="dcterms:W3CDTF">2021-10-01T00:31:00Z</dcterms:modified>
</cp:coreProperties>
</file>